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D" w:rsidRPr="00AA2ACD" w:rsidRDefault="00AA2ACD" w:rsidP="00AA2ACD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</w:pPr>
      <w:proofErr w:type="spellStart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Politique</w:t>
      </w:r>
      <w:proofErr w:type="spellEnd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 xml:space="preserve"> : </w:t>
      </w:r>
      <w:proofErr w:type="spellStart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pourquoi</w:t>
      </w:r>
      <w:proofErr w:type="spellEnd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 xml:space="preserve"> y a-t-</w:t>
      </w:r>
      <w:proofErr w:type="spellStart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il</w:t>
      </w:r>
      <w:proofErr w:type="spellEnd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une</w:t>
      </w:r>
      <w:proofErr w:type="spellEnd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 xml:space="preserve"> gauche et </w:t>
      </w:r>
      <w:proofErr w:type="spellStart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une</w:t>
      </w:r>
      <w:proofErr w:type="spellEnd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 ?</w:t>
      </w:r>
    </w:p>
    <w:p w:rsid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</w:pPr>
      <w:r>
        <w:rPr>
          <w:rFonts w:ascii="Arial" w:eastAsia="Times New Roman" w:hAnsi="Arial" w:cs="Arial"/>
          <w:noProof/>
          <w:color w:val="201D21"/>
          <w:sz w:val="20"/>
          <w:szCs w:val="20"/>
          <w:lang w:eastAsia="sv-SE"/>
        </w:rPr>
        <w:drawing>
          <wp:inline distT="0" distB="0" distL="0" distR="0">
            <wp:extent cx="5369560" cy="2480310"/>
            <wp:effectExtent l="0" t="0" r="2540" b="0"/>
            <wp:docPr id="1" name="Bildobjekt 1" descr="L'hémicycle de l'Assemblée nationale ©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hémicycle de l'Assemblée nationale © D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A2ACD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L'hémicycle</w:t>
      </w:r>
      <w:proofErr w:type="spellEnd"/>
      <w:r w:rsidRPr="00AA2ACD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l'Assemblée</w:t>
      </w:r>
      <w:proofErr w:type="spellEnd"/>
      <w:r w:rsidRPr="00AA2ACD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nationale</w:t>
      </w:r>
      <w:proofErr w:type="spellEnd"/>
      <w:r w:rsidRPr="00AA2ACD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</w:t>
      </w:r>
    </w:p>
    <w:p w:rsidR="00AA2ACD" w:rsidRP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</w:pPr>
      <w:bookmarkStart w:id="0" w:name="_GoBack"/>
      <w:bookmarkEnd w:id="0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Le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clivage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gauche/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est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aujourd’hui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un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repère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essentiel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en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politique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.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Mais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d’où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vient-il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?</w:t>
      </w:r>
    </w:p>
    <w:p w:rsidR="00AA2ACD" w:rsidRPr="00AA2ACD" w:rsidRDefault="00AA2ACD" w:rsidP="00AA2ACD">
      <w:pPr>
        <w:numPr>
          <w:ilvl w:val="0"/>
          <w:numId w:val="1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eastAsia="sv-SE"/>
        </w:rPr>
      </w:pPr>
      <w:r w:rsidRPr="00AA2ACD">
        <w:rPr>
          <w:rFonts w:ascii="Arial" w:eastAsia="Times New Roman" w:hAnsi="Arial" w:cs="Arial"/>
          <w:color w:val="201D21"/>
          <w:sz w:val="23"/>
          <w:szCs w:val="23"/>
          <w:lang w:val="en-US" w:eastAsia="sv-SE"/>
        </w:rPr>
        <w:t> </w:t>
      </w:r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Le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tournant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du 28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août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1789</w:t>
      </w:r>
    </w:p>
    <w:p w:rsidR="00AA2ACD" w:rsidRP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monde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politique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moderne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on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considère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clivage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gauche/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est</w:t>
      </w:r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apparu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 28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août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1789,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lors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d’un vote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sur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poids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l'autorité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royale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 face au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pouvoir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l'assemblée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future constitution.</w:t>
      </w:r>
    </w:p>
    <w:p w:rsidR="00AA2ACD" w:rsidRP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Les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députés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l'Assemblée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Constituante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débattent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alors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la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possibilité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ou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non, pour le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roi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s'opposer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aux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lois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l'Assemblée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Si le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roi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droit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veto, le régime sera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monarchie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restaurée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s'il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n'a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pas le veto,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il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s'agira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d'un </w:t>
      </w:r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régime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constitutionnel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Appelés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se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prononcer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, </w:t>
      </w:r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les partisans du veto</w:t>
      </w: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(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l’aristocratie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le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clergé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) </w:t>
      </w:r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se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sont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regroupés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à la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 du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président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séance, 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ses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opposants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(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majoritairement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Tiers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État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) </w:t>
      </w:r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du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côté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gauche</w:t>
      </w: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AA2ACD" w:rsidRP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Cette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séparation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rendait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plus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aisée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 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décompte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des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voix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La séance a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finalement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opté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pour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voix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intermédiaire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celle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du veto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suspensif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AA2ACD" w:rsidRPr="00AA2ACD" w:rsidRDefault="00AA2ACD" w:rsidP="00AA2ACD">
      <w:pPr>
        <w:numPr>
          <w:ilvl w:val="0"/>
          <w:numId w:val="2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eastAsia="sv-SE"/>
        </w:rPr>
      </w:pP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L’apparition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plus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tardive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des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valeurs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gauche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et de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droite</w:t>
      </w:r>
      <w:proofErr w:type="spellEnd"/>
    </w:p>
    <w:p w:rsidR="00AA2ACD" w:rsidRP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C'est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seulement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à la fin du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XIXe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siècle, pendant </w:t>
      </w:r>
      <w:proofErr w:type="spellStart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l'affaire</w:t>
      </w:r>
      <w:proofErr w:type="spellEnd"/>
      <w:r w:rsidRPr="00AA2AC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Dreyfus</w:t>
      </w: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positionnement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gauche/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s’opère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sur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terrain des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valeurs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D'un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côté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, la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gauche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défend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les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valeurs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libertés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, 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justice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, 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progrès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social, 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laïcité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. De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l'autre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, la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droite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met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en avant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l'ordre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, la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hiérarchie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, la nation, la tradition, la religion,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l'armée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et la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famille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</w:t>
      </w:r>
    </w:p>
    <w:p w:rsidR="00AA2ACD" w:rsidRPr="00AA2ACD" w:rsidRDefault="00AA2ACD" w:rsidP="00AA2ACD">
      <w:pPr>
        <w:numPr>
          <w:ilvl w:val="0"/>
          <w:numId w:val="3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val="en-US" w:eastAsia="sv-SE"/>
        </w:rPr>
      </w:pPr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Pour les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anthropologues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ce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clivage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aurait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origine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très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ancienne</w:t>
      </w:r>
      <w:proofErr w:type="spellEnd"/>
    </w:p>
    <w:p w:rsidR="00AA2ACD" w:rsidRP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</w:t>
      </w:r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Des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anthropologues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ont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démontré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qu’il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y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avait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 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tendance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fondamentale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toute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organisation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société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et de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toute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organisation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politique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 qui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consiste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à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raisonner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en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contrastes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binaires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.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Cela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permet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 </w:t>
      </w:r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simplifier les oppositions</w:t>
      </w:r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car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l’ordre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politique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compliqué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et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multidimensionnel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.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les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sociétés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primitives déjà, les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individus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avaient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tendance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à se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séparer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en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deux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catégories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",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explique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Bruno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Cautrès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politologue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chercheur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au CNRS, au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Cevipof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enseignant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Science Po. "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C’est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cela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qui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explique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clivage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gauche/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aujourd’hui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quelque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chose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d’universel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".</w:t>
      </w:r>
    </w:p>
    <w:p w:rsidR="00AA2ACD" w:rsidRP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</w:t>
      </w:r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La distinction gauche/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repose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sur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 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deux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conceptions du monde</w:t>
      </w:r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 : la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c'est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l'idée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qu'on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 monde </w:t>
      </w:r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pour respecter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l'oeuvre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Dieu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pour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contempler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 monde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tel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qu'il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(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l'ordre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). La gauche,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c'est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l'idée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qu'</w:t>
      </w:r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on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 monde pour le transformer</w:t>
      </w:r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pour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agir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sur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lui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(le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mouvement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).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Cette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distinction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fondamentale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explique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les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différentes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valeurs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qui se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sont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ensuite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développées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les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deux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camps</w:t>
      </w: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".</w:t>
      </w:r>
    </w:p>
    <w:p w:rsidR="00AA2ACD" w:rsidRPr="00AA2ACD" w:rsidRDefault="00AA2ACD" w:rsidP="00AA2ACD">
      <w:pPr>
        <w:numPr>
          <w:ilvl w:val="0"/>
          <w:numId w:val="4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val="en-US" w:eastAsia="sv-SE"/>
        </w:rPr>
      </w:pPr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Un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clivage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 qui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varie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>selon</w:t>
      </w:r>
      <w:proofErr w:type="spellEnd"/>
      <w:r w:rsidRPr="00AA2ACD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val="en-US" w:eastAsia="sv-SE"/>
        </w:rPr>
        <w:t xml:space="preserve"> les pays et les époques</w:t>
      </w:r>
    </w:p>
    <w:p w:rsidR="00AA2ACD" w:rsidRP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Selon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les pays et les époques, la division gauche/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évolué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. De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même,</w:t>
      </w:r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certaines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idées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sont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passées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la gauche à la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 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ou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inversement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",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explique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Bruno </w:t>
      </w:r>
      <w:proofErr w:type="spellStart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Cautrès</w:t>
      </w:r>
      <w:proofErr w:type="spellEnd"/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AA2ACD" w:rsidRPr="00AA2ACD" w:rsidRDefault="00AA2ACD" w:rsidP="00AA2AC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</w:t>
      </w:r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Par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exemple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en France,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les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années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1960-1970, les 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socialistes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n’étaient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pas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aussi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pro-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européens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 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qu’aujourd’hui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. Il a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fallu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attendre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l’élection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François Mitterrand pour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cela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change. De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même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, </w:t>
      </w:r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la gauche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n’a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pas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toujours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été</w:t>
      </w:r>
      <w:proofErr w:type="spellEnd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anti-</w:t>
      </w:r>
      <w:proofErr w:type="spellStart"/>
      <w:r w:rsidRPr="00AA2AC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colonisation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. Au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départ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elle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considérait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comme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la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droite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la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colonisation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permettait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d’apporter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la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civilisation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au </w:t>
      </w:r>
      <w:proofErr w:type="spellStart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reste</w:t>
      </w:r>
      <w:proofErr w:type="spellEnd"/>
      <w:r w:rsidRPr="00AA2AC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du monde</w:t>
      </w:r>
      <w:r w:rsidRPr="00AA2AC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".</w:t>
      </w:r>
    </w:p>
    <w:p w:rsidR="00AA2ACD" w:rsidRPr="00AA2ACD" w:rsidRDefault="00AA2ACD" w:rsidP="00AA2AC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01D21"/>
          <w:sz w:val="28"/>
          <w:szCs w:val="28"/>
          <w:lang w:val="en-US" w:eastAsia="sv-SE"/>
        </w:rPr>
      </w:pPr>
      <w:r w:rsidRPr="00AA2ACD">
        <w:rPr>
          <w:rFonts w:ascii="Arial" w:eastAsia="Times New Roman" w:hAnsi="Arial" w:cs="Arial"/>
          <w:color w:val="201D21"/>
          <w:sz w:val="28"/>
          <w:szCs w:val="28"/>
          <w:lang w:val="en-US" w:eastAsia="sv-SE"/>
        </w:rPr>
        <w:t>par </w:t>
      </w:r>
      <w:hyperlink r:id="rId7" w:history="1">
        <w:r w:rsidRPr="00AA2ACD">
          <w:rPr>
            <w:rFonts w:ascii="Arial" w:eastAsia="Times New Roman" w:hAnsi="Arial" w:cs="Arial"/>
            <w:b/>
            <w:bCs/>
            <w:color w:val="147AC2"/>
            <w:sz w:val="28"/>
            <w:szCs w:val="28"/>
            <w:lang w:val="en-US" w:eastAsia="sv-SE"/>
          </w:rPr>
          <w:t xml:space="preserve">Marie </w:t>
        </w:r>
        <w:proofErr w:type="spellStart"/>
        <w:r w:rsidRPr="00AA2ACD">
          <w:rPr>
            <w:rFonts w:ascii="Arial" w:eastAsia="Times New Roman" w:hAnsi="Arial" w:cs="Arial"/>
            <w:b/>
            <w:bCs/>
            <w:color w:val="147AC2"/>
            <w:sz w:val="28"/>
            <w:szCs w:val="28"/>
            <w:lang w:val="en-US" w:eastAsia="sv-SE"/>
          </w:rPr>
          <w:t>Conquy</w:t>
        </w:r>
        <w:proofErr w:type="spellEnd"/>
      </w:hyperlink>
    </w:p>
    <w:p w:rsidR="00226B1F" w:rsidRPr="00AA2ACD" w:rsidRDefault="00226B1F">
      <w:pPr>
        <w:rPr>
          <w:lang w:val="en-US"/>
        </w:rPr>
      </w:pPr>
    </w:p>
    <w:sectPr w:rsidR="00226B1F" w:rsidRPr="00AA2ACD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CC6"/>
    <w:multiLevelType w:val="multilevel"/>
    <w:tmpl w:val="D99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A7F38"/>
    <w:multiLevelType w:val="multilevel"/>
    <w:tmpl w:val="BA0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30E8E"/>
    <w:multiLevelType w:val="multilevel"/>
    <w:tmpl w:val="1CD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51E81"/>
    <w:multiLevelType w:val="multilevel"/>
    <w:tmpl w:val="F93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CD"/>
    <w:rsid w:val="00226B1F"/>
    <w:rsid w:val="00272CAD"/>
    <w:rsid w:val="006E215A"/>
    <w:rsid w:val="009153E5"/>
    <w:rsid w:val="009E4938"/>
    <w:rsid w:val="00AA2ACD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A2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2AC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Betoning">
    <w:name w:val="Emphasis"/>
    <w:basedOn w:val="Standardstycketeckensnitt"/>
    <w:uiPriority w:val="20"/>
    <w:qFormat/>
    <w:rsid w:val="00AA2ACD"/>
    <w:rPr>
      <w:i/>
      <w:iCs/>
    </w:rPr>
  </w:style>
  <w:style w:type="character" w:styleId="Stark">
    <w:name w:val="Strong"/>
    <w:basedOn w:val="Standardstycketeckensnitt"/>
    <w:uiPriority w:val="22"/>
    <w:qFormat/>
    <w:rsid w:val="00AA2AC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A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A2ACD"/>
  </w:style>
  <w:style w:type="character" w:styleId="Hyperlnk">
    <w:name w:val="Hyperlink"/>
    <w:basedOn w:val="Standardstycketeckensnitt"/>
    <w:uiPriority w:val="99"/>
    <w:semiHidden/>
    <w:unhideWhenUsed/>
    <w:rsid w:val="00AA2AC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A2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2AC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Betoning">
    <w:name w:val="Emphasis"/>
    <w:basedOn w:val="Standardstycketeckensnitt"/>
    <w:uiPriority w:val="20"/>
    <w:qFormat/>
    <w:rsid w:val="00AA2ACD"/>
    <w:rPr>
      <w:i/>
      <w:iCs/>
    </w:rPr>
  </w:style>
  <w:style w:type="character" w:styleId="Stark">
    <w:name w:val="Strong"/>
    <w:basedOn w:val="Standardstycketeckensnitt"/>
    <w:uiPriority w:val="22"/>
    <w:qFormat/>
    <w:rsid w:val="00AA2AC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A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A2ACD"/>
  </w:style>
  <w:style w:type="character" w:styleId="Hyperlnk">
    <w:name w:val="Hyperlink"/>
    <w:basedOn w:val="Standardstycketeckensnitt"/>
    <w:uiPriority w:val="99"/>
    <w:semiHidden/>
    <w:unhideWhenUsed/>
    <w:rsid w:val="00AA2AC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quoi.info/profil/marie-conqu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2013-10-13T07:41:00Z</dcterms:created>
  <dcterms:modified xsi:type="dcterms:W3CDTF">2013-10-13T07:42:00Z</dcterms:modified>
</cp:coreProperties>
</file>